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BD" w:rsidRDefault="00853039"/>
    <w:p w:rsidR="00CE631C" w:rsidRDefault="00CE631C" w:rsidP="00CE631C">
      <w:pPr>
        <w:pStyle w:val="Header"/>
        <w:jc w:val="right"/>
      </w:pPr>
      <w:r>
        <w:t>LĪGUMS</w:t>
      </w:r>
    </w:p>
    <w:p w:rsidR="00CE631C" w:rsidRDefault="00CE631C" w:rsidP="00CE631C">
      <w:pPr>
        <w:pStyle w:val="Header"/>
        <w:jc w:val="right"/>
      </w:pPr>
      <w:r>
        <w:t xml:space="preserve">par LTMC </w:t>
      </w:r>
      <w:r w:rsidRPr="00CE631C">
        <w:t>Tiesu un tiesībaizsardzības iestāžu labu pārvaldību mācību nodrošināšanu</w:t>
      </w:r>
    </w:p>
    <w:p w:rsidR="00CE631C" w:rsidRDefault="00CE631C" w:rsidP="00CE631C">
      <w:pPr>
        <w:pStyle w:val="Header"/>
        <w:jc w:val="right"/>
      </w:pPr>
      <w:r>
        <w:t xml:space="preserve">Pasūtītāja līguma Nr. </w:t>
      </w:r>
      <w:r w:rsidRPr="00CE631C">
        <w:t>TA2017/2/B/ES</w:t>
      </w:r>
    </w:p>
    <w:p w:rsidR="00CE631C" w:rsidRDefault="00CE631C" w:rsidP="00CE631C">
      <w:pPr>
        <w:pStyle w:val="Header"/>
        <w:jc w:val="right"/>
      </w:pP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499"/>
        <w:gridCol w:w="1984"/>
        <w:gridCol w:w="3182"/>
        <w:gridCol w:w="8647"/>
      </w:tblGrid>
      <w:tr w:rsidR="00CE631C" w:rsidRPr="00CE631C" w:rsidTr="00040C2B">
        <w:trPr>
          <w:trHeight w:val="262"/>
        </w:trPr>
        <w:tc>
          <w:tcPr>
            <w:tcW w:w="499" w:type="dxa"/>
            <w:hideMark/>
          </w:tcPr>
          <w:p w:rsidR="00CE631C" w:rsidRPr="00CE631C" w:rsidRDefault="00CE631C" w:rsidP="00CE631C">
            <w:pPr>
              <w:rPr>
                <w:b/>
                <w:bCs/>
              </w:rPr>
            </w:pPr>
            <w:r w:rsidRPr="00CE631C">
              <w:rPr>
                <w:b/>
                <w:bCs/>
              </w:rPr>
              <w:t>Nr.</w:t>
            </w:r>
          </w:p>
        </w:tc>
        <w:tc>
          <w:tcPr>
            <w:tcW w:w="1984" w:type="dxa"/>
            <w:hideMark/>
          </w:tcPr>
          <w:p w:rsidR="00CE631C" w:rsidRPr="00CE631C" w:rsidRDefault="00CE631C" w:rsidP="00CE631C">
            <w:pPr>
              <w:rPr>
                <w:b/>
                <w:bCs/>
              </w:rPr>
            </w:pPr>
            <w:r w:rsidRPr="00CE631C">
              <w:rPr>
                <w:b/>
                <w:bCs/>
              </w:rPr>
              <w:t>Mācību programmu tēmas</w:t>
            </w:r>
          </w:p>
        </w:tc>
        <w:tc>
          <w:tcPr>
            <w:tcW w:w="3182" w:type="dxa"/>
            <w:hideMark/>
          </w:tcPr>
          <w:p w:rsidR="00CE631C" w:rsidRPr="00CE631C" w:rsidRDefault="00CE631C" w:rsidP="00CE631C">
            <w:pPr>
              <w:rPr>
                <w:b/>
                <w:bCs/>
              </w:rPr>
            </w:pPr>
            <w:r w:rsidRPr="00CE631C">
              <w:rPr>
                <w:b/>
                <w:bCs/>
              </w:rPr>
              <w:t>Apakšprogrammu tēmas</w:t>
            </w:r>
          </w:p>
        </w:tc>
        <w:tc>
          <w:tcPr>
            <w:tcW w:w="8647" w:type="dxa"/>
            <w:hideMark/>
          </w:tcPr>
          <w:p w:rsidR="00CE631C" w:rsidRPr="00CE631C" w:rsidRDefault="00CE631C" w:rsidP="00CE631C">
            <w:pPr>
              <w:rPr>
                <w:b/>
                <w:bCs/>
              </w:rPr>
            </w:pPr>
            <w:r w:rsidRPr="00CE631C">
              <w:rPr>
                <w:b/>
                <w:bCs/>
              </w:rPr>
              <w:t>Mācību materiāls</w:t>
            </w:r>
          </w:p>
        </w:tc>
      </w:tr>
      <w:tr w:rsidR="00CE631C" w:rsidRPr="00CE631C" w:rsidTr="00040C2B">
        <w:trPr>
          <w:trHeight w:val="262"/>
        </w:trPr>
        <w:tc>
          <w:tcPr>
            <w:tcW w:w="499" w:type="dxa"/>
            <w:vMerge w:val="restart"/>
            <w:hideMark/>
          </w:tcPr>
          <w:p w:rsidR="00CE631C" w:rsidRPr="00CE631C" w:rsidRDefault="00CE631C" w:rsidP="005F0411">
            <w:r w:rsidRPr="00CE631C">
              <w:t>1.</w:t>
            </w:r>
          </w:p>
        </w:tc>
        <w:tc>
          <w:tcPr>
            <w:tcW w:w="1984" w:type="dxa"/>
            <w:vMerge w:val="restart"/>
            <w:hideMark/>
          </w:tcPr>
          <w:p w:rsidR="00CE631C" w:rsidRPr="00CE631C" w:rsidRDefault="00CE631C" w:rsidP="005F0411">
            <w:r w:rsidRPr="00CE631C">
              <w:t>Tiesu un tiesībsargājošo iestāžu darba pārvaldība</w:t>
            </w:r>
          </w:p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1.1.1. Grupu supervīzijas</w:t>
            </w:r>
          </w:p>
        </w:tc>
        <w:tc>
          <w:tcPr>
            <w:tcW w:w="8647" w:type="dxa"/>
            <w:hideMark/>
          </w:tcPr>
          <w:p w:rsidR="00CE631C" w:rsidRPr="00CE631C" w:rsidRDefault="00CE631C" w:rsidP="005F0411">
            <w:r w:rsidRPr="00CE631C">
              <w:t> </w:t>
            </w:r>
            <w:r w:rsidR="00B0414B">
              <w:t>Nav</w:t>
            </w:r>
          </w:p>
        </w:tc>
      </w:tr>
      <w:tr w:rsidR="00CE631C" w:rsidRPr="00CE631C" w:rsidTr="00040C2B">
        <w:trPr>
          <w:trHeight w:val="262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1.1.2. Individuālās supervīzijas</w:t>
            </w:r>
          </w:p>
        </w:tc>
        <w:tc>
          <w:tcPr>
            <w:tcW w:w="8647" w:type="dxa"/>
            <w:hideMark/>
          </w:tcPr>
          <w:p w:rsidR="00CE631C" w:rsidRPr="00CE631C" w:rsidRDefault="00CE631C" w:rsidP="005F0411">
            <w:r w:rsidRPr="00CE631C">
              <w:t> </w:t>
            </w:r>
            <w:r w:rsidR="00B0414B">
              <w:t xml:space="preserve">Nav </w:t>
            </w:r>
          </w:p>
        </w:tc>
      </w:tr>
      <w:tr w:rsidR="00CE631C" w:rsidRPr="00CE631C" w:rsidTr="00040C2B">
        <w:trPr>
          <w:trHeight w:val="524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1.2.   Vadītāja prasmes</w:t>
            </w:r>
          </w:p>
        </w:tc>
        <w:tc>
          <w:tcPr>
            <w:tcW w:w="8647" w:type="dxa"/>
            <w:hideMark/>
          </w:tcPr>
          <w:p w:rsidR="00040C2B" w:rsidRDefault="00040C2B" w:rsidP="005F0411">
            <w:r>
              <w:t>Izdales materiāli:</w:t>
            </w:r>
            <w:r w:rsidR="00CE631C" w:rsidRPr="00CE631C">
              <w:t> </w:t>
            </w:r>
          </w:p>
          <w:p w:rsidR="00CE631C" w:rsidRDefault="00040C2B" w:rsidP="005F0411">
            <w:r>
              <w:t>“Vadītājs ar izaugsmes skatījumu”</w:t>
            </w:r>
          </w:p>
          <w:p w:rsidR="00040C2B" w:rsidRDefault="00040C2B" w:rsidP="005F0411">
            <w:r>
              <w:t>“Personīgā efektivitāte”</w:t>
            </w:r>
          </w:p>
          <w:p w:rsidR="00040C2B" w:rsidRDefault="00040C2B" w:rsidP="005F0411">
            <w:r>
              <w:t>“Veido attiecības, motivē individuāli”</w:t>
            </w:r>
          </w:p>
          <w:p w:rsidR="00040C2B" w:rsidRDefault="00853039" w:rsidP="005F0411">
            <w:r>
              <w:t xml:space="preserve"> “K</w:t>
            </w:r>
            <w:r w:rsidR="00040C2B">
              <w:t>as ir moderna sadarbība organizācijas un komandās”</w:t>
            </w:r>
          </w:p>
          <w:p w:rsidR="00040C2B" w:rsidRDefault="00040C2B" w:rsidP="00040C2B">
            <w:r>
              <w:t>“Profesionālās ētikas ceļazīmes”</w:t>
            </w:r>
          </w:p>
          <w:p w:rsidR="00040C2B" w:rsidRDefault="00040C2B" w:rsidP="00040C2B">
            <w:r>
              <w:t>“Tiesneša loma tiesā un sabiedrībā”</w:t>
            </w:r>
            <w:bookmarkStart w:id="0" w:name="_GoBack"/>
            <w:bookmarkEnd w:id="0"/>
          </w:p>
          <w:p w:rsidR="00040C2B" w:rsidRDefault="00040C2B" w:rsidP="00040C2B">
            <w:r>
              <w:t>“Tiesnešu ētikas komisijas atziņu apkopojums par atstatīšanos”</w:t>
            </w:r>
          </w:p>
          <w:p w:rsidR="00040C2B" w:rsidRPr="00CE631C" w:rsidRDefault="00040C2B" w:rsidP="00040C2B">
            <w:r>
              <w:t xml:space="preserve">“Komunikācija un </w:t>
            </w:r>
            <w:r w:rsidR="008C0AA7">
              <w:t>emocionālā</w:t>
            </w:r>
            <w:r>
              <w:t xml:space="preserve"> inteliģence”</w:t>
            </w:r>
          </w:p>
        </w:tc>
      </w:tr>
      <w:tr w:rsidR="00CE631C" w:rsidRPr="00CE631C" w:rsidTr="00040C2B">
        <w:trPr>
          <w:trHeight w:val="349"/>
        </w:trPr>
        <w:tc>
          <w:tcPr>
            <w:tcW w:w="499" w:type="dxa"/>
            <w:vMerge w:val="restart"/>
            <w:hideMark/>
          </w:tcPr>
          <w:p w:rsidR="00CE631C" w:rsidRPr="00CE631C" w:rsidRDefault="00CE631C" w:rsidP="005F0411">
            <w:r w:rsidRPr="00CE631C">
              <w:t>2.</w:t>
            </w:r>
          </w:p>
        </w:tc>
        <w:tc>
          <w:tcPr>
            <w:tcW w:w="1984" w:type="dxa"/>
            <w:vMerge w:val="restart"/>
            <w:hideMark/>
          </w:tcPr>
          <w:p w:rsidR="00CE631C" w:rsidRPr="00CE631C" w:rsidRDefault="00CE631C" w:rsidP="005F0411">
            <w:r w:rsidRPr="00CE631C">
              <w:t>Tiesas nolēmumu un citu procesuālo dokumentu sagatavošana</w:t>
            </w:r>
          </w:p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2.1. Tiesu prakses vispārinājumu (apkopojumu, pētījumu) veikšanas metodoloģija</w:t>
            </w:r>
          </w:p>
        </w:tc>
        <w:tc>
          <w:tcPr>
            <w:tcW w:w="8647" w:type="dxa"/>
            <w:hideMark/>
          </w:tcPr>
          <w:p w:rsidR="00CE631C" w:rsidRPr="00E84728" w:rsidRDefault="00CE631C" w:rsidP="005F0411">
            <w:r w:rsidRPr="00E84728">
              <w:t> </w:t>
            </w:r>
            <w:r w:rsidR="00046834" w:rsidRPr="00E84728">
              <w:t>Izdales materiāli:</w:t>
            </w:r>
          </w:p>
          <w:p w:rsidR="00E84728" w:rsidRPr="00E84728" w:rsidRDefault="00E84728" w:rsidP="005F0411">
            <w:r w:rsidRPr="00E84728">
              <w:t>“Kvantitatīvās pētniecības metodes”</w:t>
            </w:r>
          </w:p>
          <w:p w:rsidR="00E84728" w:rsidRPr="00E84728" w:rsidRDefault="00E84728" w:rsidP="005F0411">
            <w:r w:rsidRPr="00E84728">
              <w:t>“Kvalitatīvās pētniecības metodes”</w:t>
            </w:r>
          </w:p>
          <w:p w:rsidR="00E84728" w:rsidRDefault="00E84728" w:rsidP="005F0411">
            <w:r w:rsidRPr="00E84728">
              <w:t>“Informācijas sabiedrības pētniecības pieejas”</w:t>
            </w:r>
          </w:p>
          <w:p w:rsidR="00E84728" w:rsidRDefault="00E84728" w:rsidP="005F0411">
            <w:r>
              <w:t>“Augstākās Tiesas nolēmuma nozīme tiesu prakses pētniecībā”</w:t>
            </w:r>
          </w:p>
          <w:p w:rsidR="00E84728" w:rsidRDefault="00E84728" w:rsidP="005F0411">
            <w:r>
              <w:t>“Likumdošanas procesa materiāli”</w:t>
            </w:r>
          </w:p>
          <w:p w:rsidR="00E84728" w:rsidRDefault="00E84728" w:rsidP="005F0411">
            <w:r>
              <w:t>“Satversmes tiesas spriedums kā tiesību avots”</w:t>
            </w:r>
          </w:p>
          <w:p w:rsidR="00E84728" w:rsidRDefault="00E84728" w:rsidP="005F0411">
            <w:r>
              <w:t>“ECT judikatūra, iedvesmas un tiesību avots”</w:t>
            </w:r>
          </w:p>
          <w:p w:rsidR="00E84728" w:rsidRDefault="00E84728" w:rsidP="005F0411">
            <w:r>
              <w:t>“Praktiski ieteikumi ECT nolēmumu meklēšanā un metodoloģijā”</w:t>
            </w:r>
          </w:p>
          <w:p w:rsidR="00E84728" w:rsidRDefault="00E84728" w:rsidP="005F0411">
            <w:r>
              <w:t>“Starptautisko tiesību avoti”</w:t>
            </w:r>
          </w:p>
          <w:p w:rsidR="00E84728" w:rsidRDefault="00E84728" w:rsidP="005F0411">
            <w:r>
              <w:t>“</w:t>
            </w:r>
            <w:r w:rsidRPr="00E84728">
              <w:t>ES tiesības kā tiesību avots un avots pētniecībai</w:t>
            </w:r>
            <w:r>
              <w:t>”</w:t>
            </w:r>
          </w:p>
          <w:p w:rsidR="00E84728" w:rsidRDefault="00820748" w:rsidP="005F0411">
            <w:r>
              <w:t>“</w:t>
            </w:r>
            <w:r w:rsidRPr="00820748">
              <w:t>Avoti Eiropas Savienības Tiesas nolēmumos</w:t>
            </w:r>
            <w:r>
              <w:t>”</w:t>
            </w:r>
          </w:p>
          <w:p w:rsidR="00820748" w:rsidRDefault="00820748" w:rsidP="00820748">
            <w:pPr>
              <w:tabs>
                <w:tab w:val="left" w:pos="960"/>
              </w:tabs>
            </w:pPr>
            <w:r>
              <w:lastRenderedPageBreak/>
              <w:t>“</w:t>
            </w:r>
            <w:r w:rsidRPr="00820748">
              <w:t>Ģenerāladvokāta secinājumi</w:t>
            </w:r>
            <w:r>
              <w:t>”</w:t>
            </w:r>
          </w:p>
          <w:p w:rsidR="00820748" w:rsidRDefault="00820748" w:rsidP="00820748">
            <w:pPr>
              <w:tabs>
                <w:tab w:val="left" w:pos="960"/>
              </w:tabs>
            </w:pPr>
            <w:r>
              <w:t>“Pētniecība ES tiesā”</w:t>
            </w:r>
          </w:p>
          <w:p w:rsidR="00820748" w:rsidRDefault="00820748" w:rsidP="00820748">
            <w:pPr>
              <w:tabs>
                <w:tab w:val="left" w:pos="960"/>
              </w:tabs>
            </w:pPr>
            <w:r>
              <w:t>“</w:t>
            </w:r>
            <w:r w:rsidRPr="00820748">
              <w:t>Kvantitatīvie pētījumi</w:t>
            </w:r>
            <w:r>
              <w:t xml:space="preserve">; </w:t>
            </w:r>
            <w:r w:rsidRPr="00820748">
              <w:t>kriminālsodu politika un prakse</w:t>
            </w:r>
            <w:r>
              <w:t>”</w:t>
            </w:r>
          </w:p>
          <w:p w:rsidR="00820748" w:rsidRDefault="00820748" w:rsidP="00820748">
            <w:pPr>
              <w:tabs>
                <w:tab w:val="left" w:pos="960"/>
              </w:tabs>
            </w:pPr>
            <w:r>
              <w:t>“</w:t>
            </w:r>
            <w:r w:rsidRPr="00820748">
              <w:t>Tiesu prakses vispārinājumu veikšanas metodoloģija</w:t>
            </w:r>
            <w:r>
              <w:t xml:space="preserve">” </w:t>
            </w:r>
          </w:p>
          <w:p w:rsidR="00820748" w:rsidRDefault="00820748" w:rsidP="00820748">
            <w:pPr>
              <w:tabs>
                <w:tab w:val="left" w:pos="960"/>
              </w:tabs>
            </w:pPr>
            <w:r>
              <w:t>“</w:t>
            </w:r>
            <w:r w:rsidRPr="00820748">
              <w:t>Salīdzinošo tiesību izmantošana tiesas spriešanā</w:t>
            </w:r>
            <w:r>
              <w:t>”</w:t>
            </w:r>
          </w:p>
          <w:p w:rsidR="002C3182" w:rsidRDefault="002C3182" w:rsidP="00820748">
            <w:pPr>
              <w:tabs>
                <w:tab w:val="left" w:pos="960"/>
              </w:tabs>
            </w:pPr>
            <w:r>
              <w:t>“Tiesu prakses vispārinājumu veikšanas žanrs”</w:t>
            </w:r>
          </w:p>
          <w:p w:rsidR="002C3182" w:rsidRDefault="002C3182" w:rsidP="00820748">
            <w:pPr>
              <w:tabs>
                <w:tab w:val="left" w:pos="960"/>
              </w:tabs>
            </w:pPr>
            <w:r>
              <w:t>“Gadījuma analīze kā metode kriminoloģiskajā un juridiskajā pētniecībā”</w:t>
            </w:r>
          </w:p>
          <w:p w:rsidR="00770C03" w:rsidRPr="00E84728" w:rsidRDefault="00770C03" w:rsidP="00820748">
            <w:pPr>
              <w:tabs>
                <w:tab w:val="left" w:pos="960"/>
              </w:tabs>
            </w:pPr>
            <w:r>
              <w:t>“</w:t>
            </w:r>
            <w:r w:rsidRPr="00770C03">
              <w:t>Sistēmiskās kļūdas(novirzes) kriminālprocesā, sodu izpildē un pētniecībā</w:t>
            </w:r>
            <w:r>
              <w:t>”</w:t>
            </w:r>
          </w:p>
        </w:tc>
      </w:tr>
      <w:tr w:rsidR="00CE631C" w:rsidRPr="00CE631C" w:rsidTr="00040C2B">
        <w:trPr>
          <w:trHeight w:val="262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2.2. Nolēmumu projektu sagatavošana</w:t>
            </w:r>
          </w:p>
        </w:tc>
        <w:tc>
          <w:tcPr>
            <w:tcW w:w="8647" w:type="dxa"/>
            <w:hideMark/>
          </w:tcPr>
          <w:p w:rsidR="00CE631C" w:rsidRDefault="00CE631C" w:rsidP="005F0411">
            <w:r w:rsidRPr="00CE631C">
              <w:t> </w:t>
            </w:r>
            <w:r w:rsidR="00046834">
              <w:t>Izdales materiāli:</w:t>
            </w:r>
          </w:p>
          <w:p w:rsidR="007A39D9" w:rsidRDefault="007A39D9" w:rsidP="005F0411">
            <w:r>
              <w:t>“</w:t>
            </w:r>
            <w:r w:rsidRPr="007A39D9">
              <w:t>Argumentācijas prasmes</w:t>
            </w:r>
            <w:r>
              <w:t>”</w:t>
            </w:r>
          </w:p>
          <w:p w:rsidR="007A39D9" w:rsidRDefault="007A39D9" w:rsidP="005F0411">
            <w:r>
              <w:t>“</w:t>
            </w:r>
            <w:r w:rsidRPr="007A39D9">
              <w:t>Būtiskākās izvēles sprieduma aprakstošās daļas veidošanai</w:t>
            </w:r>
            <w:r>
              <w:t>”</w:t>
            </w:r>
          </w:p>
          <w:p w:rsidR="007A39D9" w:rsidRDefault="007A39D9" w:rsidP="005F0411">
            <w:r>
              <w:t>“</w:t>
            </w:r>
            <w:r w:rsidRPr="007A39D9">
              <w:t>Nolēmuma motīvu daļas struktūra</w:t>
            </w:r>
            <w:r>
              <w:t>”</w:t>
            </w:r>
          </w:p>
          <w:p w:rsidR="00D47370" w:rsidRDefault="00D47370" w:rsidP="005F0411">
            <w:r>
              <w:t>“</w:t>
            </w:r>
            <w:r w:rsidRPr="00D47370">
              <w:t>Tiesas sprieduma kvalitāte</w:t>
            </w:r>
            <w:r w:rsidR="008C0AA7">
              <w:t xml:space="preserve"> </w:t>
            </w:r>
            <w:r w:rsidRPr="00D47370">
              <w:t>valoda un tiesas tēls</w:t>
            </w:r>
            <w:r>
              <w:t>”</w:t>
            </w:r>
          </w:p>
          <w:p w:rsidR="00D47370" w:rsidRDefault="00D47370" w:rsidP="005F0411">
            <w:r>
              <w:t>“E</w:t>
            </w:r>
            <w:r w:rsidRPr="00D47370">
              <w:t>ST_ECT</w:t>
            </w:r>
            <w:r>
              <w:t xml:space="preserve"> </w:t>
            </w:r>
            <w:r w:rsidRPr="00D47370">
              <w:t>un ST atziņu izmantošana tiesu nolēmumos civillietās</w:t>
            </w:r>
            <w:r>
              <w:t>”</w:t>
            </w:r>
          </w:p>
          <w:p w:rsidR="00D47370" w:rsidRDefault="00D47370" w:rsidP="005F0411">
            <w:r>
              <w:t>“</w:t>
            </w:r>
            <w:r w:rsidRPr="00D47370">
              <w:t>Rezolutīvās daļas satura atbilstība Civilprocesa likuma prasībām</w:t>
            </w:r>
            <w:r>
              <w:t>”</w:t>
            </w:r>
          </w:p>
          <w:p w:rsidR="00D47370" w:rsidRDefault="00D47370" w:rsidP="005F0411">
            <w:r>
              <w:t>“</w:t>
            </w:r>
            <w:r w:rsidRPr="00D47370">
              <w:t>Lietas apstākļiem atbilstošas Augstākās tiesas judikatūras un tiesu prakses izmantošana tiesu nolēmumos</w:t>
            </w:r>
            <w:r>
              <w:t>”</w:t>
            </w:r>
          </w:p>
          <w:p w:rsidR="00C63011" w:rsidRDefault="00C63011" w:rsidP="005F0411">
            <w:r>
              <w:t>“</w:t>
            </w:r>
            <w:r w:rsidRPr="00C63011">
              <w:t>Rezolutīvā daļa un spriedumu izpildāmība</w:t>
            </w:r>
            <w:r>
              <w:t>”</w:t>
            </w:r>
          </w:p>
          <w:p w:rsidR="00C63011" w:rsidRDefault="001167B3" w:rsidP="005F0411">
            <w:r>
              <w:t>“</w:t>
            </w:r>
            <w:r w:rsidRPr="001167B3">
              <w:t>Satversmes Tiesas atziņas nolēmumos</w:t>
            </w:r>
            <w:r>
              <w:t>”</w:t>
            </w:r>
          </w:p>
          <w:p w:rsidR="001167B3" w:rsidRDefault="001167B3" w:rsidP="005F0411">
            <w:r>
              <w:t>“</w:t>
            </w:r>
            <w:r w:rsidRPr="001167B3">
              <w:t>Apelācijas instances tiesas nolēmuma motīvu daļa</w:t>
            </w:r>
            <w:r>
              <w:t>”</w:t>
            </w:r>
          </w:p>
          <w:p w:rsidR="001167B3" w:rsidRDefault="001167B3" w:rsidP="005F0411">
            <w:r>
              <w:t>“</w:t>
            </w:r>
            <w:r w:rsidRPr="001167B3">
              <w:t>Kritiskā domāšana un argumentācija</w:t>
            </w:r>
            <w:r>
              <w:t>”</w:t>
            </w:r>
          </w:p>
          <w:p w:rsidR="008D6BE8" w:rsidRDefault="008D6BE8" w:rsidP="005F0411">
            <w:r>
              <w:t xml:space="preserve">“Judikatūras </w:t>
            </w:r>
            <w:r w:rsidR="008C0AA7">
              <w:t>izmantošana argumentācijā”</w:t>
            </w:r>
          </w:p>
          <w:p w:rsidR="008C0AA7" w:rsidRDefault="008C0AA7" w:rsidP="005F0411">
            <w:r>
              <w:t>“Kvalitatīvs spriedums krimināllietā”</w:t>
            </w:r>
          </w:p>
          <w:p w:rsidR="008C0AA7" w:rsidRDefault="008C0AA7" w:rsidP="005F0411">
            <w:r>
              <w:t>“Tiesas nolēmuma kvalitāte”</w:t>
            </w:r>
          </w:p>
          <w:p w:rsidR="008C0AA7" w:rsidRDefault="008C0AA7" w:rsidP="005F0411">
            <w:r>
              <w:t>“Pierādīšanas priekšmets”</w:t>
            </w:r>
          </w:p>
          <w:p w:rsidR="008C0AA7" w:rsidRDefault="008C0AA7" w:rsidP="005F0411">
            <w:r>
              <w:t>“Argumentācija un kritiskā domāšana”</w:t>
            </w:r>
          </w:p>
          <w:p w:rsidR="008C0AA7" w:rsidRPr="00CE631C" w:rsidRDefault="008C0AA7" w:rsidP="005F0411">
            <w:r>
              <w:t>“Argumentācijas prasmes”</w:t>
            </w:r>
          </w:p>
        </w:tc>
      </w:tr>
      <w:tr w:rsidR="00CE631C" w:rsidRPr="00CE631C" w:rsidTr="00040C2B">
        <w:trPr>
          <w:trHeight w:val="262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2.3. Citu procesuālo dokumentu sastādīšana</w:t>
            </w:r>
          </w:p>
        </w:tc>
        <w:tc>
          <w:tcPr>
            <w:tcW w:w="8647" w:type="dxa"/>
            <w:hideMark/>
          </w:tcPr>
          <w:p w:rsidR="00CE631C" w:rsidRDefault="00CE631C" w:rsidP="005F0411">
            <w:r w:rsidRPr="00CE631C">
              <w:t> </w:t>
            </w:r>
            <w:r w:rsidR="00046834">
              <w:t>Izdales materiāli:</w:t>
            </w:r>
          </w:p>
          <w:p w:rsidR="008C0AA7" w:rsidRDefault="008C0AA7" w:rsidP="005F0411">
            <w:r>
              <w:t>“Tipiskākās valodas kļūdas apsūdzībās”</w:t>
            </w:r>
          </w:p>
          <w:p w:rsidR="008C0AA7" w:rsidRDefault="008C0AA7" w:rsidP="005F0411">
            <w:r>
              <w:t>“Personvārdu atveide”</w:t>
            </w:r>
          </w:p>
          <w:p w:rsidR="008C0AA7" w:rsidRDefault="008C0AA7" w:rsidP="005F0411">
            <w:r>
              <w:lastRenderedPageBreak/>
              <w:t>“</w:t>
            </w:r>
            <w:r w:rsidRPr="008C0AA7">
              <w:t>Lēmuma par personas saukšanu pie kriminālatbildības (apsūdzības) sagatavošana</w:t>
            </w:r>
            <w:r>
              <w:t>”</w:t>
            </w:r>
          </w:p>
          <w:p w:rsidR="008C0AA7" w:rsidRDefault="008C0AA7" w:rsidP="005F0411">
            <w:r>
              <w:t>“Apsūdzība, neizdevusies līdzdalība KL 218p.”</w:t>
            </w:r>
          </w:p>
          <w:p w:rsidR="008C0AA7" w:rsidRDefault="008C0AA7" w:rsidP="005F0411">
            <w:r>
              <w:t>“Apsūdzība organizētā grupā”</w:t>
            </w:r>
          </w:p>
          <w:p w:rsidR="008C0AA7" w:rsidRDefault="008C0AA7" w:rsidP="005F0411">
            <w:r>
              <w:t>“</w:t>
            </w:r>
            <w:r w:rsidRPr="008C0AA7">
              <w:t>Uzkūdīšana</w:t>
            </w:r>
            <w:r>
              <w:t>,</w:t>
            </w:r>
            <w:r w:rsidRPr="008C0AA7">
              <w:t xml:space="preserve"> atbalstīšana sagatavošanās</w:t>
            </w:r>
            <w:r>
              <w:t>”</w:t>
            </w:r>
          </w:p>
          <w:p w:rsidR="008C0AA7" w:rsidRDefault="008C0AA7" w:rsidP="005F0411">
            <w:r>
              <w:t>“</w:t>
            </w:r>
            <w:r w:rsidRPr="008C0AA7">
              <w:t>Citvalodu personvārdu atveide latviešu valod</w:t>
            </w:r>
            <w:r>
              <w:t>ā”</w:t>
            </w:r>
          </w:p>
          <w:p w:rsidR="008C0AA7" w:rsidRDefault="008C0AA7" w:rsidP="005F0411">
            <w:r>
              <w:t>“</w:t>
            </w:r>
            <w:r w:rsidRPr="008C0AA7">
              <w:t>Tipiskākās valodas kļūdas apsūdzībā</w:t>
            </w:r>
            <w:r>
              <w:t>s”</w:t>
            </w:r>
          </w:p>
          <w:p w:rsidR="00C02015" w:rsidRDefault="00C02015" w:rsidP="005F0411">
            <w:r>
              <w:t>“Apskates protokoli”</w:t>
            </w:r>
          </w:p>
          <w:p w:rsidR="00C02015" w:rsidRDefault="00C02015" w:rsidP="005F0411">
            <w:r>
              <w:t>“Izmeklēšanas apskate”</w:t>
            </w:r>
          </w:p>
          <w:p w:rsidR="00C02015" w:rsidRDefault="00C02015" w:rsidP="005F0411">
            <w:r>
              <w:t>“Nopratināšanas taktika un metodika”</w:t>
            </w:r>
          </w:p>
          <w:p w:rsidR="00C02015" w:rsidRPr="00CE631C" w:rsidRDefault="00C02015" w:rsidP="005F0411">
            <w:r>
              <w:t>“Tipiskas kļūdas izmeklētāju dokumentos”</w:t>
            </w:r>
          </w:p>
        </w:tc>
      </w:tr>
      <w:tr w:rsidR="00CE631C" w:rsidRPr="00CE631C" w:rsidTr="00040C2B">
        <w:trPr>
          <w:trHeight w:val="174"/>
        </w:trPr>
        <w:tc>
          <w:tcPr>
            <w:tcW w:w="499" w:type="dxa"/>
            <w:vMerge w:val="restart"/>
            <w:hideMark/>
          </w:tcPr>
          <w:p w:rsidR="00CE631C" w:rsidRPr="00CE631C" w:rsidRDefault="00CE631C" w:rsidP="005F0411">
            <w:r w:rsidRPr="00CE631C">
              <w:lastRenderedPageBreak/>
              <w:t>3.</w:t>
            </w:r>
          </w:p>
        </w:tc>
        <w:tc>
          <w:tcPr>
            <w:tcW w:w="1984" w:type="dxa"/>
            <w:vMerge w:val="restart"/>
            <w:hideMark/>
          </w:tcPr>
          <w:p w:rsidR="00CE631C" w:rsidRPr="00CE631C" w:rsidRDefault="00CE631C" w:rsidP="005F0411">
            <w:r w:rsidRPr="00CE631C">
              <w:t>Tiesnešu amata kandidātu, jauno tiesnešu un jauno tiesu darbinieku iemaņu pilnveide</w:t>
            </w:r>
          </w:p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3.1. Tiesnešu amata kandidātu mācības</w:t>
            </w:r>
          </w:p>
        </w:tc>
        <w:tc>
          <w:tcPr>
            <w:tcW w:w="8647" w:type="dxa"/>
            <w:hideMark/>
          </w:tcPr>
          <w:p w:rsidR="00CE631C" w:rsidRDefault="00040C2B" w:rsidP="005F0411">
            <w:r>
              <w:t>Prasmes</w:t>
            </w:r>
          </w:p>
          <w:p w:rsidR="00040C2B" w:rsidRDefault="00040C2B" w:rsidP="005F0411">
            <w:r>
              <w:t>Izdales materiāli:</w:t>
            </w:r>
          </w:p>
          <w:p w:rsidR="00040C2B" w:rsidRDefault="00040C2B" w:rsidP="005F0411">
            <w:r>
              <w:t>“Pieaugušo mācīšanās”</w:t>
            </w:r>
          </w:p>
          <w:p w:rsidR="00040C2B" w:rsidRDefault="00040C2B" w:rsidP="005F0411">
            <w:r>
              <w:t>“Tālākizglītība un tiesneša karjeras gaita”</w:t>
            </w:r>
          </w:p>
          <w:p w:rsidR="00040C2B" w:rsidRDefault="00040C2B" w:rsidP="005F0411">
            <w:r>
              <w:t>“Tiesneša loma un ētika”</w:t>
            </w:r>
          </w:p>
          <w:p w:rsidR="00040C2B" w:rsidRDefault="00040C2B" w:rsidP="005F0411">
            <w:r>
              <w:t>“Es un vērtības. Attīstības trajektorija”</w:t>
            </w:r>
          </w:p>
          <w:p w:rsidR="00040C2B" w:rsidRDefault="00040C2B" w:rsidP="005F0411">
            <w:r>
              <w:t>“Personīgā efektivitāte”</w:t>
            </w:r>
          </w:p>
          <w:p w:rsidR="00040C2B" w:rsidRDefault="00040C2B" w:rsidP="005F0411">
            <w:r>
              <w:t>“Argumentācija un kritiskā domāšana”</w:t>
            </w:r>
          </w:p>
          <w:p w:rsidR="00040C2B" w:rsidRDefault="00040C2B" w:rsidP="005F0411">
            <w:r>
              <w:t>“Apzinātība ikdienā, darbā un saskarsmē”</w:t>
            </w:r>
          </w:p>
          <w:p w:rsidR="00271A61" w:rsidRDefault="00271A61" w:rsidP="00271A61">
            <w:r>
              <w:t>“Konflikti un stresa vadīšana”</w:t>
            </w:r>
          </w:p>
          <w:p w:rsidR="00271A61" w:rsidRDefault="00271A61" w:rsidP="00271A61">
            <w:r>
              <w:t>“Psiholoģiskās aizsardzības mehānismi”</w:t>
            </w:r>
          </w:p>
          <w:p w:rsidR="00046834" w:rsidRDefault="00046834" w:rsidP="005F0411"/>
          <w:p w:rsidR="00046834" w:rsidRDefault="00046834" w:rsidP="005F0411">
            <w:r>
              <w:t xml:space="preserve">Juridiskās zināšanas: </w:t>
            </w:r>
          </w:p>
          <w:p w:rsidR="00046834" w:rsidRDefault="0050243D" w:rsidP="005F0411">
            <w:r>
              <w:t>“</w:t>
            </w:r>
            <w:r w:rsidRPr="0050243D">
              <w:t>Civilprocesa mācības</w:t>
            </w:r>
            <w:r>
              <w:t>”</w:t>
            </w:r>
          </w:p>
          <w:p w:rsidR="0050243D" w:rsidRDefault="0050243D" w:rsidP="005F0411">
            <w:r>
              <w:t>“</w:t>
            </w:r>
            <w:r w:rsidRPr="0050243D">
              <w:t>Civilprocesa p</w:t>
            </w:r>
            <w:r>
              <w:t>rincipi tiesā_lietas dalībnieki”</w:t>
            </w:r>
          </w:p>
          <w:p w:rsidR="0050243D" w:rsidRDefault="0050243D" w:rsidP="005F0411">
            <w:r>
              <w:t>“</w:t>
            </w:r>
            <w:r w:rsidR="00224417" w:rsidRPr="00224417">
              <w:t>Nolēmuma spēkā stāšanās un izpilde</w:t>
            </w:r>
            <w:r w:rsidR="00224417">
              <w:t>”</w:t>
            </w:r>
          </w:p>
          <w:p w:rsidR="00224417" w:rsidRDefault="00224417" w:rsidP="005F0411">
            <w:r>
              <w:t>“</w:t>
            </w:r>
            <w:r w:rsidRPr="00224417">
              <w:t>Prasības pieteikuma pieņemšana</w:t>
            </w:r>
            <w:r>
              <w:t>”</w:t>
            </w:r>
          </w:p>
          <w:p w:rsidR="00224417" w:rsidRDefault="00224417" w:rsidP="005F0411">
            <w:r>
              <w:t>“</w:t>
            </w:r>
            <w:r w:rsidRPr="00224417">
              <w:t>Tiesāšanās izdevumi</w:t>
            </w:r>
            <w:r>
              <w:t>”</w:t>
            </w:r>
          </w:p>
          <w:p w:rsidR="00224417" w:rsidRDefault="00224417" w:rsidP="005F0411">
            <w:r>
              <w:t>“</w:t>
            </w:r>
            <w:r w:rsidRPr="00224417">
              <w:t>Civilprocesa mācības_pierādījumi</w:t>
            </w:r>
            <w:r>
              <w:t>”</w:t>
            </w:r>
          </w:p>
          <w:p w:rsidR="00224417" w:rsidRDefault="00224417" w:rsidP="005F0411">
            <w:r>
              <w:t>“</w:t>
            </w:r>
            <w:r w:rsidRPr="00224417">
              <w:t>Prasības nodrošināšana</w:t>
            </w:r>
            <w:r>
              <w:t>”</w:t>
            </w:r>
          </w:p>
          <w:p w:rsidR="00224417" w:rsidRDefault="00224417" w:rsidP="005F0411">
            <w:r>
              <w:lastRenderedPageBreak/>
              <w:t>“</w:t>
            </w:r>
            <w:r w:rsidRPr="00224417">
              <w:t>Vienkāršotas procedūras prasības</w:t>
            </w:r>
            <w:r>
              <w:t>”</w:t>
            </w:r>
          </w:p>
          <w:p w:rsidR="00224417" w:rsidRDefault="00224417" w:rsidP="005F0411">
            <w:r>
              <w:t>“</w:t>
            </w:r>
            <w:r w:rsidRPr="00224417">
              <w:t>ES principi civiltiesībās_EST judikatūra</w:t>
            </w:r>
            <w:r>
              <w:t>”</w:t>
            </w:r>
          </w:p>
          <w:p w:rsidR="00224417" w:rsidRDefault="00224417" w:rsidP="005F0411">
            <w:r>
              <w:t>“</w:t>
            </w:r>
            <w:r w:rsidRPr="00224417">
              <w:t>Tiesiskā sadarbība civillietās</w:t>
            </w:r>
            <w:r>
              <w:t>”</w:t>
            </w:r>
          </w:p>
          <w:p w:rsidR="00224417" w:rsidRDefault="00224417" w:rsidP="005F0411">
            <w:r>
              <w:t>“</w:t>
            </w:r>
            <w:r w:rsidRPr="00224417">
              <w:t>Tiesu ekspertīžu veidi un iespējas</w:t>
            </w:r>
            <w:r>
              <w:t>”</w:t>
            </w:r>
          </w:p>
          <w:p w:rsidR="00224417" w:rsidRDefault="00224417" w:rsidP="005F0411">
            <w:r>
              <w:t>“</w:t>
            </w:r>
            <w:r w:rsidR="00767670" w:rsidRPr="00767670">
              <w:t>Morālā kaitējuma atlīdzināšana</w:t>
            </w:r>
            <w:r w:rsidR="00767670">
              <w:t>”</w:t>
            </w:r>
          </w:p>
          <w:p w:rsidR="00767670" w:rsidRDefault="00767670" w:rsidP="005F0411">
            <w:r>
              <w:t>“</w:t>
            </w:r>
            <w:r w:rsidRPr="00767670">
              <w:t>Rīcībspējas ierobežošana</w:t>
            </w:r>
            <w:r>
              <w:t>”</w:t>
            </w:r>
          </w:p>
          <w:p w:rsidR="00767670" w:rsidRDefault="00767670" w:rsidP="005F0411">
            <w:r>
              <w:t>“</w:t>
            </w:r>
            <w:r w:rsidRPr="00767670">
              <w:t>Aktuālā tiesu prakse īres tiesību jautājumos</w:t>
            </w:r>
            <w:r>
              <w:t>”</w:t>
            </w:r>
          </w:p>
          <w:p w:rsidR="00A376C7" w:rsidRDefault="00A376C7" w:rsidP="005F0411">
            <w:r>
              <w:t>“</w:t>
            </w:r>
            <w:r w:rsidRPr="00A376C7">
              <w:t>Dzīvojamo telpu īres likums</w:t>
            </w:r>
            <w:r>
              <w:t>”</w:t>
            </w:r>
          </w:p>
          <w:p w:rsidR="00A376C7" w:rsidRDefault="00A376C7" w:rsidP="005F0411">
            <w:r>
              <w:t>“</w:t>
            </w:r>
            <w:r w:rsidRPr="00A376C7">
              <w:t>Eiropas procedūras civillietās un komerclietās</w:t>
            </w:r>
            <w:r>
              <w:t>”</w:t>
            </w:r>
          </w:p>
          <w:p w:rsidR="00A376C7" w:rsidRDefault="00A376C7" w:rsidP="005F0411">
            <w:r>
              <w:t>“</w:t>
            </w:r>
            <w:r w:rsidR="00E55FCC" w:rsidRPr="00E55FCC">
              <w:t>Darba strīdu izskatīšanas īpatnības, aktuālā prakse</w:t>
            </w:r>
            <w:r w:rsidR="00E55FCC">
              <w:t>”</w:t>
            </w:r>
          </w:p>
          <w:p w:rsidR="00E55FCC" w:rsidRDefault="00E55FCC" w:rsidP="005F0411">
            <w:r>
              <w:t>“</w:t>
            </w:r>
            <w:r w:rsidRPr="00E55FCC">
              <w:t>Cilvēktiesību ievērošana civilprocesā</w:t>
            </w:r>
            <w:r>
              <w:t>”</w:t>
            </w:r>
          </w:p>
          <w:p w:rsidR="00E55FCC" w:rsidRDefault="00E55FCC" w:rsidP="005F0411">
            <w:r>
              <w:t>“</w:t>
            </w:r>
            <w:r w:rsidRPr="00E55FCC">
              <w:t>Maksātnespējas lietu izskatīšanas īpatnības un aktuālā tiesu prakse</w:t>
            </w:r>
            <w:r>
              <w:t>”</w:t>
            </w:r>
          </w:p>
          <w:p w:rsidR="008B52D1" w:rsidRDefault="008B52D1" w:rsidP="008B52D1">
            <w:r>
              <w:t>“Publisko tiesību jomas nošķiršana no privāto tiesību jomas”</w:t>
            </w:r>
          </w:p>
          <w:p w:rsidR="008B52D1" w:rsidRDefault="008B52D1" w:rsidP="008B52D1">
            <w:r>
              <w:t>“Argumenti un argumentācija”</w:t>
            </w:r>
          </w:p>
          <w:p w:rsidR="008B52D1" w:rsidRDefault="008B52D1" w:rsidP="008B52D1">
            <w:r>
              <w:t>“Tiesību normu interpretācija, tiesību normu un principu kolīzijas”</w:t>
            </w:r>
          </w:p>
          <w:p w:rsidR="008B52D1" w:rsidRDefault="008B52D1" w:rsidP="008B52D1">
            <w:r>
              <w:t>“Tiesību tālākveidošana”</w:t>
            </w:r>
          </w:p>
          <w:p w:rsidR="008B52D1" w:rsidRDefault="008B52D1" w:rsidP="008B52D1">
            <w:r>
              <w:t>“Nolēmumu sagatavošana, juridiskā valoda”</w:t>
            </w:r>
          </w:p>
          <w:p w:rsidR="008B52D1" w:rsidRDefault="008B52D1" w:rsidP="008B52D1">
            <w:r>
              <w:t>“Kas jādara tiesnesim, lai lieta nenonāktu Eiropas Cilvēktiesību tiesā?”</w:t>
            </w:r>
          </w:p>
          <w:p w:rsidR="008B52D1" w:rsidRDefault="008B52D1" w:rsidP="008B52D1">
            <w:r>
              <w:t>“Latvija un Eiropas Cilvēktiesību tiesa”</w:t>
            </w:r>
          </w:p>
          <w:p w:rsidR="008B52D1" w:rsidRDefault="008B52D1" w:rsidP="008B52D1">
            <w:r>
              <w:t>“Aktualitātes starptautiskajā bērnu nolaupīšanā un starptautiskajās bērnu tiesībās”</w:t>
            </w:r>
          </w:p>
          <w:p w:rsidR="008B52D1" w:rsidRDefault="008B52D1" w:rsidP="008B52D1">
            <w:r>
              <w:t>“Bērna psiholoģiskās īpatnības noteiktos vecumposmos”</w:t>
            </w:r>
          </w:p>
          <w:p w:rsidR="008B52D1" w:rsidRDefault="008B52D1" w:rsidP="008B52D1">
            <w:r>
              <w:t>“Cilvēktiesību standarti un bērnu prioritārās intereses”</w:t>
            </w:r>
          </w:p>
          <w:p w:rsidR="008B52D1" w:rsidRDefault="008B52D1" w:rsidP="008B52D1">
            <w:r>
              <w:t>“Tiesu prakse, lietās, kas izriet no ģimenes tiesiskajām attiecībām”</w:t>
            </w:r>
          </w:p>
          <w:p w:rsidR="008B52D1" w:rsidRDefault="008B52D1" w:rsidP="008B52D1">
            <w:r>
              <w:t>“Pagaidu aizsardzība pret vardarbību civilprocesā”</w:t>
            </w:r>
          </w:p>
          <w:p w:rsidR="008B52D1" w:rsidRDefault="008B52D1" w:rsidP="008B52D1">
            <w:r>
              <w:t>“Vecāku un bērnu personiskās attiecības”</w:t>
            </w:r>
          </w:p>
          <w:p w:rsidR="008B52D1" w:rsidRDefault="008B52D1" w:rsidP="008B52D1">
            <w:r>
              <w:t>“Vardarbība ģimenē un pret bērnu: veidi, riska faktori, sekas, pazīmes”</w:t>
            </w:r>
          </w:p>
          <w:p w:rsidR="008B52D1" w:rsidRDefault="008B52D1" w:rsidP="008B52D1">
            <w:r>
              <w:t>“Audzinoša rakstura piespiedu līdzekļu piemērošana nepilngadīgajiem krimināllietās”</w:t>
            </w:r>
          </w:p>
          <w:p w:rsidR="008B52D1" w:rsidRDefault="008B52D1" w:rsidP="008B52D1">
            <w:r>
              <w:t>“Nepilngadīgo nopratināšana”</w:t>
            </w:r>
          </w:p>
          <w:p w:rsidR="008B52D1" w:rsidRDefault="008B52D1" w:rsidP="008B52D1">
            <w:r>
              <w:t>“Sociālās rehabilitācijas pakalpojumi un citi palīdzības veidi vardarbībā cietušām ģimenēm un bērniem”</w:t>
            </w:r>
          </w:p>
          <w:p w:rsidR="008B52D1" w:rsidRDefault="008B52D1" w:rsidP="008B52D1">
            <w:r>
              <w:lastRenderedPageBreak/>
              <w:t>“Latviešu valoda juridiskajos dokumentos”</w:t>
            </w:r>
          </w:p>
          <w:p w:rsidR="00C02015" w:rsidRDefault="008B52D1" w:rsidP="008B52D1">
            <w:r>
              <w:t>“Informācijas drošība darbā un ikdienā”</w:t>
            </w:r>
          </w:p>
          <w:p w:rsidR="008B52D1" w:rsidRDefault="008B52D1" w:rsidP="008B52D1">
            <w:r>
              <w:t>“Personas datu aizsardzība. Datu subjekta tiesības”</w:t>
            </w:r>
          </w:p>
          <w:p w:rsidR="008B52D1" w:rsidRDefault="008B52D1" w:rsidP="008B52D1">
            <w:r>
              <w:t>“Pārskats par IT lietojuma priekšrocībām. MS Office vide: informācijas organizēšana mapēs, datņu saglabāšanā, datņu paplašinājumi”</w:t>
            </w:r>
          </w:p>
          <w:p w:rsidR="008B52D1" w:rsidRDefault="008B52D1" w:rsidP="008B52D1">
            <w:r>
              <w:t>“Drošība internetā”</w:t>
            </w:r>
          </w:p>
          <w:p w:rsidR="008B52D1" w:rsidRDefault="008B52D1" w:rsidP="008B52D1">
            <w:r>
              <w:t>“Teksta apstrāde MS WORD un funkcijas efektīvākam tiesneša darbam”</w:t>
            </w:r>
          </w:p>
          <w:p w:rsidR="008B52D1" w:rsidRDefault="008B52D1" w:rsidP="008B52D1">
            <w:r>
              <w:t>“Prejudiciālais nolēmums, t.sk., acte claire, un tiesnešu atbildība ES tiesībās”</w:t>
            </w:r>
          </w:p>
          <w:p w:rsidR="008B52D1" w:rsidRDefault="008B52D1" w:rsidP="008B52D1">
            <w:r>
              <w:t>“InfoCuria un Eur-Lex lietošana”</w:t>
            </w:r>
          </w:p>
          <w:p w:rsidR="00C02015" w:rsidRDefault="00C02015" w:rsidP="008B52D1">
            <w:r>
              <w:t>“Kriminālprocesa pamatprincipi”</w:t>
            </w:r>
          </w:p>
          <w:p w:rsidR="00C02015" w:rsidRDefault="00C02015" w:rsidP="008B52D1">
            <w:r>
              <w:t>“Lēmums rezolūcijas veidā”</w:t>
            </w:r>
          </w:p>
          <w:p w:rsidR="00C02015" w:rsidRDefault="00C02015" w:rsidP="008B52D1">
            <w:r>
              <w:t>“Sagatavošana iztiesāšanai”</w:t>
            </w:r>
          </w:p>
          <w:p w:rsidR="00C02015" w:rsidRDefault="00C02015" w:rsidP="008B52D1">
            <w:r>
              <w:t>“Sagatavošanās tiesas sēdei, sēdes vadīšanas plāna izveidošana”</w:t>
            </w:r>
          </w:p>
          <w:p w:rsidR="00C02015" w:rsidRDefault="00C02015" w:rsidP="008B52D1">
            <w:r>
              <w:t>“Tiesas nolēmumu spēkā stāšanās un izpildes kontrole”</w:t>
            </w:r>
          </w:p>
          <w:p w:rsidR="00C02015" w:rsidRDefault="00C02015" w:rsidP="008B52D1">
            <w:r>
              <w:t>Kriminālprocesa izbeigšana tiesas sēdē”</w:t>
            </w:r>
          </w:p>
          <w:p w:rsidR="00C02015" w:rsidRDefault="00C02015" w:rsidP="008B52D1">
            <w:r>
              <w:t>“Tiesas nolēmuma kvalitāte un tiesas tēls, nolēmuma saturs un forma”</w:t>
            </w:r>
          </w:p>
          <w:p w:rsidR="00C02015" w:rsidRDefault="00C02015" w:rsidP="008B52D1">
            <w:r>
              <w:t>“Liecību ticamības izvērtēšana”</w:t>
            </w:r>
          </w:p>
          <w:p w:rsidR="00C02015" w:rsidRDefault="00C02015" w:rsidP="008B52D1">
            <w:r>
              <w:t>“Pierādīšanas priekšmeta noteikšana un pierādījumu analīze”</w:t>
            </w:r>
          </w:p>
          <w:p w:rsidR="00C02015" w:rsidRDefault="00C02015" w:rsidP="008B52D1">
            <w:r>
              <w:t>“Medicīniska rakstura piespiedu līdzekļi”</w:t>
            </w:r>
          </w:p>
          <w:p w:rsidR="00C02015" w:rsidRDefault="00C02015" w:rsidP="008B52D1">
            <w:r>
              <w:t>“Soda mērķis un piemērošana, soda veidi”</w:t>
            </w:r>
          </w:p>
          <w:p w:rsidR="00C02015" w:rsidRDefault="00C02015" w:rsidP="008B52D1">
            <w:r>
              <w:t>“Cietušais kriminālprocesā”</w:t>
            </w:r>
          </w:p>
          <w:p w:rsidR="00C02015" w:rsidRDefault="00C02015" w:rsidP="008B52D1">
            <w:r>
              <w:t>“Kaitējuma kompensācija kriminālprocesā”</w:t>
            </w:r>
          </w:p>
          <w:p w:rsidR="00C02015" w:rsidRDefault="00C02015" w:rsidP="008B52D1">
            <w:r>
              <w:t>“Personas kuras īsteno aizstāvību”</w:t>
            </w:r>
          </w:p>
          <w:p w:rsidR="00C02015" w:rsidRDefault="00C02015" w:rsidP="008B52D1">
            <w:r>
              <w:t>“Prokurors un aizstāvis kriminālprocesā”</w:t>
            </w:r>
          </w:p>
          <w:p w:rsidR="00C02015" w:rsidRDefault="00C02015" w:rsidP="008B52D1">
            <w:r>
              <w:t>“Izlīgums”</w:t>
            </w:r>
          </w:p>
          <w:p w:rsidR="00C02015" w:rsidRDefault="00C02015" w:rsidP="008B52D1">
            <w:r>
              <w:t>“Izmeklēšanas tiesneša lēmumi par izmeklēšanas un speciālajām izmeklēšanas darbībām”</w:t>
            </w:r>
          </w:p>
          <w:p w:rsidR="00C02015" w:rsidRDefault="00C02015" w:rsidP="008B52D1">
            <w:r>
              <w:t>“Starptautiskā sadarbība krimināllietās”</w:t>
            </w:r>
          </w:p>
          <w:p w:rsidR="00C02015" w:rsidRDefault="00C02015" w:rsidP="008B52D1">
            <w:r>
              <w:t>“Vienkāršotie kriminālprocesa veidi”</w:t>
            </w:r>
          </w:p>
          <w:p w:rsidR="00C02015" w:rsidRDefault="00C02015" w:rsidP="008B52D1">
            <w:r>
              <w:t>“PVN izkrāpšanas un izvairīšanās no nodokļu nomaksas nošķiršana”</w:t>
            </w:r>
          </w:p>
          <w:p w:rsidR="00C02015" w:rsidRDefault="00C02015" w:rsidP="008B52D1">
            <w:r>
              <w:t>“Valsts kompensācija cietušajiem”</w:t>
            </w:r>
          </w:p>
          <w:p w:rsidR="00C02015" w:rsidRDefault="00C02015" w:rsidP="008B52D1">
            <w:r>
              <w:lastRenderedPageBreak/>
              <w:t>“Eiropas Cilvēka tiesību un pamatbrīvību aizsardzības konvencijas 5.pants”</w:t>
            </w:r>
          </w:p>
          <w:p w:rsidR="00C02015" w:rsidRDefault="002C3182" w:rsidP="008B52D1">
            <w:r>
              <w:t>“Izmeklēšanas tiesnesis un kontrole pār cilvēktiesību ievērošanu kriminālprocesā”</w:t>
            </w:r>
          </w:p>
          <w:p w:rsidR="002C3182" w:rsidRDefault="002C3182" w:rsidP="008B52D1">
            <w:r>
              <w:t>“Starptautiskās krimināltiesiskās palīdzības īstenošana ES un ārvalstīs”</w:t>
            </w:r>
          </w:p>
          <w:p w:rsidR="002C3182" w:rsidRDefault="002C3182" w:rsidP="008B52D1">
            <w:r>
              <w:t>“Starptautisko tiesību aktu piemērošana ārvalsts spriedumu atzīšanā un izpildīšanā krimināllietās”</w:t>
            </w:r>
          </w:p>
          <w:p w:rsidR="002C3182" w:rsidRDefault="002C3182" w:rsidP="008B52D1">
            <w:r>
              <w:t>“Tiesības uz brīvību un drošību – ECT prakse par apcietinājumu”</w:t>
            </w:r>
          </w:p>
          <w:p w:rsidR="002C3182" w:rsidRDefault="002C3182" w:rsidP="008B52D1">
            <w:r>
              <w:t>“Administratīvie pārkāpumi ceļu satiksmē”</w:t>
            </w:r>
          </w:p>
          <w:p w:rsidR="002C3182" w:rsidRDefault="002C3182" w:rsidP="008B52D1">
            <w:r>
              <w:t>“Administratīvo pārkāpumu lietu izskatīšana”</w:t>
            </w:r>
          </w:p>
          <w:p w:rsidR="002C3182" w:rsidRPr="00CE631C" w:rsidRDefault="002C3182" w:rsidP="008B52D1">
            <w:r>
              <w:t>“Sūdzības par iestāžu lēmumiem”</w:t>
            </w:r>
          </w:p>
        </w:tc>
      </w:tr>
      <w:tr w:rsidR="00CE631C" w:rsidRPr="00CE631C" w:rsidTr="00040C2B">
        <w:trPr>
          <w:trHeight w:val="174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3.2. Jauno tiesnešu mācības</w:t>
            </w:r>
          </w:p>
        </w:tc>
        <w:tc>
          <w:tcPr>
            <w:tcW w:w="8647" w:type="dxa"/>
            <w:hideMark/>
          </w:tcPr>
          <w:p w:rsidR="00CE631C" w:rsidRPr="00CE631C" w:rsidRDefault="00CE631C" w:rsidP="00B0414B">
            <w:r w:rsidRPr="00CE631C">
              <w:t> </w:t>
            </w:r>
            <w:r w:rsidR="00B0414B">
              <w:t xml:space="preserve">Mācības vēl nav notikušas </w:t>
            </w:r>
          </w:p>
        </w:tc>
      </w:tr>
      <w:tr w:rsidR="00CE631C" w:rsidRPr="00CE631C" w:rsidTr="00040C2B">
        <w:trPr>
          <w:trHeight w:val="174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3.3. Jauno tiesu darbinieku mācības</w:t>
            </w:r>
          </w:p>
        </w:tc>
        <w:tc>
          <w:tcPr>
            <w:tcW w:w="8647" w:type="dxa"/>
            <w:hideMark/>
          </w:tcPr>
          <w:p w:rsidR="008B52D1" w:rsidRDefault="008B52D1" w:rsidP="008B52D1">
            <w:r>
              <w:t>Izdales materiāli:</w:t>
            </w:r>
          </w:p>
          <w:p w:rsidR="008B52D1" w:rsidRDefault="008B52D1" w:rsidP="008B52D1">
            <w:r>
              <w:t>“Civilprocess”</w:t>
            </w:r>
          </w:p>
          <w:p w:rsidR="008B52D1" w:rsidRDefault="008B52D1" w:rsidP="008B52D1">
            <w:r>
              <w:t>“Civilprocesa pamatjautājumi. Tiesas sēdes protokols”</w:t>
            </w:r>
          </w:p>
          <w:p w:rsidR="008B52D1" w:rsidRDefault="008B52D1" w:rsidP="008B52D1">
            <w:r>
              <w:t>“Latviešu valoda tiesas dokumentos I”</w:t>
            </w:r>
          </w:p>
          <w:p w:rsidR="008B52D1" w:rsidRDefault="008B52D1" w:rsidP="008B52D1">
            <w:r>
              <w:t>“Latviešu valoda tiesas dokumentos II”</w:t>
            </w:r>
          </w:p>
          <w:p w:rsidR="008B52D1" w:rsidRDefault="008B52D1" w:rsidP="008B52D1">
            <w:r>
              <w:t>“Datu aizsardzības tiesības”</w:t>
            </w:r>
          </w:p>
          <w:p w:rsidR="008B52D1" w:rsidRDefault="008B52D1" w:rsidP="008B52D1">
            <w:r>
              <w:t>“Nolēmuma noformēšana: struktūra, argumentācijas veidošana un būtisko apstākļu noteikšana”</w:t>
            </w:r>
          </w:p>
          <w:p w:rsidR="008B52D1" w:rsidRDefault="008B52D1" w:rsidP="008B52D1">
            <w:r>
              <w:t>“Prasības pieteikuma virzība”</w:t>
            </w:r>
          </w:p>
          <w:p w:rsidR="008B52D1" w:rsidRDefault="008B52D1" w:rsidP="008B52D1">
            <w:r>
              <w:t>“Vienkāršotas procedūras prasības”</w:t>
            </w:r>
          </w:p>
          <w:p w:rsidR="008B52D1" w:rsidRDefault="008B52D1" w:rsidP="008B52D1">
            <w:r>
              <w:t>“Tiesas izdevumi, iesniedzot prasības pieteikumu un gatavojot nolēmumu”</w:t>
            </w:r>
          </w:p>
          <w:p w:rsidR="008B52D1" w:rsidRDefault="008B52D1" w:rsidP="008B52D1">
            <w:r>
              <w:t>“Latviešu valoda tiesas dokumentos”</w:t>
            </w:r>
          </w:p>
          <w:p w:rsidR="00CE631C" w:rsidRPr="00CE631C" w:rsidRDefault="008B52D1" w:rsidP="008B52D1">
            <w:r>
              <w:t>“Nolēmuma aprakstošās daļas veidošana”</w:t>
            </w:r>
          </w:p>
        </w:tc>
      </w:tr>
      <w:tr w:rsidR="00CE631C" w:rsidRPr="00CE631C" w:rsidTr="00040C2B">
        <w:trPr>
          <w:trHeight w:val="93"/>
        </w:trPr>
        <w:tc>
          <w:tcPr>
            <w:tcW w:w="499" w:type="dxa"/>
            <w:vMerge w:val="restart"/>
            <w:hideMark/>
          </w:tcPr>
          <w:p w:rsidR="00CE631C" w:rsidRPr="00CE631C" w:rsidRDefault="00CE631C" w:rsidP="005F0411">
            <w:r w:rsidRPr="00CE631C">
              <w:t>4.</w:t>
            </w:r>
          </w:p>
        </w:tc>
        <w:tc>
          <w:tcPr>
            <w:tcW w:w="1984" w:type="dxa"/>
            <w:vMerge w:val="restart"/>
            <w:hideMark/>
          </w:tcPr>
          <w:p w:rsidR="00CE631C" w:rsidRPr="00CE631C" w:rsidRDefault="00CE631C" w:rsidP="005F0411">
            <w:r w:rsidRPr="00CE631C">
              <w:t>Tiesnešu un tiesu darbinieku mentoru iemaņu pilnveide</w:t>
            </w:r>
          </w:p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4.1. Mentoringa iemaņas</w:t>
            </w:r>
          </w:p>
        </w:tc>
        <w:tc>
          <w:tcPr>
            <w:tcW w:w="8647" w:type="dxa"/>
            <w:hideMark/>
          </w:tcPr>
          <w:p w:rsidR="00CE631C" w:rsidRDefault="00800BC1" w:rsidP="005F0411">
            <w:r>
              <w:t>Izdales materiāli:</w:t>
            </w:r>
          </w:p>
          <w:p w:rsidR="00800BC1" w:rsidRDefault="00800BC1" w:rsidP="005F0411">
            <w:r>
              <w:t>“Mentora lomas un mērķi”</w:t>
            </w:r>
          </w:p>
          <w:p w:rsidR="00800BC1" w:rsidRDefault="00800BC1" w:rsidP="005F0411">
            <w:r>
              <w:t>“Mentordarbība”</w:t>
            </w:r>
          </w:p>
          <w:p w:rsidR="00800BC1" w:rsidRDefault="00800BC1" w:rsidP="005F0411">
            <w:r>
              <w:t>“Mentordarbība Latvijas tiesās”</w:t>
            </w:r>
          </w:p>
          <w:p w:rsidR="00800BC1" w:rsidRDefault="00800BC1" w:rsidP="005F0411">
            <w:r>
              <w:t>“Personīgās izaugsmes plāns”</w:t>
            </w:r>
          </w:p>
          <w:p w:rsidR="00800BC1" w:rsidRDefault="00800BC1" w:rsidP="005F0411">
            <w:r>
              <w:t>“Vadlīnijas tiesnešiem-mentoriem”</w:t>
            </w:r>
          </w:p>
          <w:p w:rsidR="00800BC1" w:rsidRDefault="00800BC1" w:rsidP="005F0411">
            <w:r>
              <w:t>“Mentorings”</w:t>
            </w:r>
          </w:p>
          <w:p w:rsidR="00800BC1" w:rsidRDefault="00800BC1" w:rsidP="00800BC1">
            <w:r>
              <w:lastRenderedPageBreak/>
              <w:t>“</w:t>
            </w:r>
            <w:r w:rsidRPr="00800BC1">
              <w:t>Mentors, mentora lomas un atbildības</w:t>
            </w:r>
            <w:r>
              <w:t>”</w:t>
            </w:r>
          </w:p>
          <w:p w:rsidR="00800BC1" w:rsidRPr="00CE631C" w:rsidRDefault="00800BC1" w:rsidP="00800BC1">
            <w:r>
              <w:t>“</w:t>
            </w:r>
            <w:r w:rsidRPr="00800BC1">
              <w:t>Vadīšanas veidi mentoringa procesā – ieteikumi</w:t>
            </w:r>
            <w:r>
              <w:t>”</w:t>
            </w:r>
          </w:p>
        </w:tc>
      </w:tr>
      <w:tr w:rsidR="00CE631C" w:rsidRPr="00CE631C" w:rsidTr="00040C2B">
        <w:trPr>
          <w:trHeight w:val="174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4.2. Mentoru pieredzes grupa</w:t>
            </w:r>
          </w:p>
        </w:tc>
        <w:tc>
          <w:tcPr>
            <w:tcW w:w="8647" w:type="dxa"/>
            <w:hideMark/>
          </w:tcPr>
          <w:p w:rsidR="00CE631C" w:rsidRPr="00CE631C" w:rsidRDefault="00CE631C" w:rsidP="005F0411">
            <w:r w:rsidRPr="00CE631C">
              <w:t> </w:t>
            </w:r>
            <w:r w:rsidR="00B0414B">
              <w:t>nav</w:t>
            </w:r>
          </w:p>
        </w:tc>
      </w:tr>
      <w:tr w:rsidR="00CE631C" w:rsidRPr="00CE631C" w:rsidTr="00040C2B">
        <w:trPr>
          <w:trHeight w:val="612"/>
        </w:trPr>
        <w:tc>
          <w:tcPr>
            <w:tcW w:w="499" w:type="dxa"/>
            <w:vMerge w:val="restart"/>
            <w:hideMark/>
          </w:tcPr>
          <w:p w:rsidR="00CE631C" w:rsidRPr="00CE631C" w:rsidRDefault="00CE631C" w:rsidP="005F0411">
            <w:r w:rsidRPr="00CE631C">
              <w:t>5.</w:t>
            </w:r>
          </w:p>
        </w:tc>
        <w:tc>
          <w:tcPr>
            <w:tcW w:w="1984" w:type="dxa"/>
            <w:vMerge w:val="restart"/>
            <w:hideMark/>
          </w:tcPr>
          <w:p w:rsidR="00CE631C" w:rsidRPr="00CE631C" w:rsidRDefault="00CE631C" w:rsidP="005F0411">
            <w:r w:rsidRPr="00CE631C">
              <w:t>Lektoru iemaņu pilnveide</w:t>
            </w:r>
          </w:p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5.1. Lektoru skola</w:t>
            </w:r>
          </w:p>
        </w:tc>
        <w:tc>
          <w:tcPr>
            <w:tcW w:w="8647" w:type="dxa"/>
            <w:hideMark/>
          </w:tcPr>
          <w:p w:rsidR="00800BC1" w:rsidRDefault="00800BC1" w:rsidP="00800BC1">
            <w:r>
              <w:t>Izdales materiāli:</w:t>
            </w:r>
          </w:p>
          <w:p w:rsidR="00CE631C" w:rsidRDefault="00800BC1" w:rsidP="005F0411">
            <w:r>
              <w:t>“Kā mācās piegaušie un kāpēc jāmācās?”</w:t>
            </w:r>
          </w:p>
          <w:p w:rsidR="00800BC1" w:rsidRDefault="00800BC1" w:rsidP="005F0411">
            <w:r>
              <w:t>“Mācību mērķa noteikšana”</w:t>
            </w:r>
          </w:p>
          <w:p w:rsidR="00800BC1" w:rsidRDefault="00800BC1" w:rsidP="005F0411">
            <w:r>
              <w:t>“Mācību strukturēšana”</w:t>
            </w:r>
          </w:p>
          <w:p w:rsidR="00800BC1" w:rsidRDefault="00800BC1" w:rsidP="00800BC1">
            <w:r>
              <w:t>“uzstāšanās prasmeslektoriem. Rekomendācijas”</w:t>
            </w:r>
          </w:p>
          <w:p w:rsidR="00800BC1" w:rsidRDefault="00800BC1" w:rsidP="00800BC1">
            <w:r>
              <w:t>“Auditorijas iesaistes metodes”</w:t>
            </w:r>
          </w:p>
          <w:p w:rsidR="00800BC1" w:rsidRDefault="00800BC1" w:rsidP="00800BC1">
            <w:r>
              <w:t>“Argumentācija un kritiskā domāšana”</w:t>
            </w:r>
          </w:p>
          <w:p w:rsidR="00800BC1" w:rsidRDefault="00800BC1" w:rsidP="00800BC1">
            <w:r>
              <w:t>“Sarežģītu situāciju risināšana mācībās”</w:t>
            </w:r>
          </w:p>
          <w:p w:rsidR="00800BC1" w:rsidRDefault="00800BC1" w:rsidP="00800BC1">
            <w:r>
              <w:t>“Individuālie izaicinājumi”</w:t>
            </w:r>
          </w:p>
          <w:p w:rsidR="00800BC1" w:rsidRDefault="00800BC1" w:rsidP="00800BC1">
            <w:r>
              <w:t>“Apzinātība ikdienā, darbā un saskarsmē”</w:t>
            </w:r>
          </w:p>
          <w:p w:rsidR="00800BC1" w:rsidRDefault="00800BC1" w:rsidP="00800BC1">
            <w:r>
              <w:t>“Argumentācijas prasmes”</w:t>
            </w:r>
          </w:p>
          <w:p w:rsidR="00800BC1" w:rsidRPr="00CE631C" w:rsidRDefault="00800BC1" w:rsidP="00800BC1">
            <w:r>
              <w:t>“Uzstāšanās prasmes”</w:t>
            </w:r>
          </w:p>
        </w:tc>
      </w:tr>
      <w:tr w:rsidR="00CE631C" w:rsidRPr="00CE631C" w:rsidTr="00040C2B">
        <w:trPr>
          <w:trHeight w:val="524"/>
        </w:trPr>
        <w:tc>
          <w:tcPr>
            <w:tcW w:w="499" w:type="dxa"/>
            <w:vMerge/>
            <w:hideMark/>
          </w:tcPr>
          <w:p w:rsidR="00CE631C" w:rsidRPr="00CE631C" w:rsidRDefault="00CE631C" w:rsidP="005F0411"/>
        </w:tc>
        <w:tc>
          <w:tcPr>
            <w:tcW w:w="1984" w:type="dxa"/>
            <w:vMerge/>
            <w:hideMark/>
          </w:tcPr>
          <w:p w:rsidR="00CE631C" w:rsidRPr="00CE631C" w:rsidRDefault="00CE631C" w:rsidP="005F0411"/>
        </w:tc>
        <w:tc>
          <w:tcPr>
            <w:tcW w:w="3182" w:type="dxa"/>
            <w:hideMark/>
          </w:tcPr>
          <w:p w:rsidR="00CE631C" w:rsidRPr="00CE631C" w:rsidRDefault="00CE631C" w:rsidP="005F0411">
            <w:r w:rsidRPr="00CE631C">
              <w:t>5.2. Vienas specializācijas lektoru pieredzes grupa</w:t>
            </w:r>
          </w:p>
        </w:tc>
        <w:tc>
          <w:tcPr>
            <w:tcW w:w="8647" w:type="dxa"/>
            <w:hideMark/>
          </w:tcPr>
          <w:p w:rsidR="00800BC1" w:rsidRDefault="00800BC1" w:rsidP="00800BC1">
            <w:r>
              <w:t>Izdales materiāli:</w:t>
            </w:r>
          </w:p>
          <w:p w:rsidR="00CE631C" w:rsidRDefault="00800BC1" w:rsidP="005F0411">
            <w:r>
              <w:t>“Mērķu un uzdevumu noteikšana semināriem”</w:t>
            </w:r>
          </w:p>
          <w:p w:rsidR="00800BC1" w:rsidRDefault="00800BC1" w:rsidP="005F0411">
            <w:r>
              <w:t>“procesuālo dokumentu sagatvošana”</w:t>
            </w:r>
          </w:p>
          <w:p w:rsidR="00800BC1" w:rsidRDefault="00800BC1" w:rsidP="005F0411">
            <w:r>
              <w:t>“Semināra struktūra”</w:t>
            </w:r>
          </w:p>
          <w:p w:rsidR="00800BC1" w:rsidRDefault="00800BC1" w:rsidP="005F0411">
            <w:r>
              <w:t>“Kvalitatīv spriedums krimināllietā”</w:t>
            </w:r>
          </w:p>
          <w:p w:rsidR="00800BC1" w:rsidRPr="00CE631C" w:rsidRDefault="00800BC1" w:rsidP="005F0411">
            <w:r>
              <w:t>“Kvalitatīvi procesuālie dokumenti poicijas darbā”</w:t>
            </w:r>
          </w:p>
        </w:tc>
      </w:tr>
      <w:tr w:rsidR="00B0414B" w:rsidRPr="00CE631C" w:rsidTr="00040C2B">
        <w:trPr>
          <w:trHeight w:val="349"/>
        </w:trPr>
        <w:tc>
          <w:tcPr>
            <w:tcW w:w="499" w:type="dxa"/>
            <w:vMerge w:val="restart"/>
            <w:hideMark/>
          </w:tcPr>
          <w:p w:rsidR="00B0414B" w:rsidRPr="00CE631C" w:rsidRDefault="00B0414B" w:rsidP="00B0414B">
            <w:r w:rsidRPr="00CE631C">
              <w:t>6.</w:t>
            </w:r>
          </w:p>
        </w:tc>
        <w:tc>
          <w:tcPr>
            <w:tcW w:w="1984" w:type="dxa"/>
            <w:vMerge w:val="restart"/>
            <w:hideMark/>
          </w:tcPr>
          <w:p w:rsidR="00B0414B" w:rsidRPr="00CE631C" w:rsidRDefault="00B0414B" w:rsidP="00B0414B">
            <w:r w:rsidRPr="00CE631C">
              <w:t>Tiesu sistēmai piederīgo profesiju ētikas standarti</w:t>
            </w:r>
          </w:p>
        </w:tc>
        <w:tc>
          <w:tcPr>
            <w:tcW w:w="3182" w:type="dxa"/>
            <w:hideMark/>
          </w:tcPr>
          <w:p w:rsidR="00B0414B" w:rsidRPr="00CE631C" w:rsidRDefault="00B0414B" w:rsidP="00B0414B">
            <w:r w:rsidRPr="00CE631C">
              <w:t>6.1. Juridiskā ētika</w:t>
            </w:r>
          </w:p>
        </w:tc>
        <w:tc>
          <w:tcPr>
            <w:tcW w:w="8647" w:type="dxa"/>
            <w:hideMark/>
          </w:tcPr>
          <w:p w:rsidR="00B0414B" w:rsidRPr="00CE631C" w:rsidRDefault="00B0414B" w:rsidP="00B0414B">
            <w:r w:rsidRPr="00CE631C">
              <w:t> </w:t>
            </w:r>
            <w:r>
              <w:t xml:space="preserve">Mācības vēl nav notikušas </w:t>
            </w:r>
          </w:p>
        </w:tc>
      </w:tr>
      <w:tr w:rsidR="00B0414B" w:rsidRPr="00CE631C" w:rsidTr="00040C2B">
        <w:trPr>
          <w:trHeight w:val="262"/>
        </w:trPr>
        <w:tc>
          <w:tcPr>
            <w:tcW w:w="499" w:type="dxa"/>
            <w:vMerge/>
            <w:hideMark/>
          </w:tcPr>
          <w:p w:rsidR="00B0414B" w:rsidRPr="00CE631C" w:rsidRDefault="00B0414B" w:rsidP="00B0414B"/>
        </w:tc>
        <w:tc>
          <w:tcPr>
            <w:tcW w:w="1984" w:type="dxa"/>
            <w:vMerge/>
            <w:hideMark/>
          </w:tcPr>
          <w:p w:rsidR="00B0414B" w:rsidRPr="00CE631C" w:rsidRDefault="00B0414B" w:rsidP="00B0414B"/>
        </w:tc>
        <w:tc>
          <w:tcPr>
            <w:tcW w:w="3182" w:type="dxa"/>
            <w:hideMark/>
          </w:tcPr>
          <w:p w:rsidR="00B0414B" w:rsidRPr="00CE631C" w:rsidRDefault="00B0414B" w:rsidP="00B0414B">
            <w:r w:rsidRPr="00CE631C">
              <w:t>6.2. Starpdisciplināras ētikas mācības</w:t>
            </w:r>
          </w:p>
        </w:tc>
        <w:tc>
          <w:tcPr>
            <w:tcW w:w="8647" w:type="dxa"/>
            <w:hideMark/>
          </w:tcPr>
          <w:p w:rsidR="00800BC1" w:rsidRDefault="00800BC1" w:rsidP="00800BC1">
            <w:r>
              <w:t>Izdales materiāli:</w:t>
            </w:r>
          </w:p>
          <w:p w:rsidR="00B0414B" w:rsidRDefault="00800BC1" w:rsidP="00B0414B">
            <w:r>
              <w:t>“Ētika juridiskajā saskarsmē”</w:t>
            </w:r>
          </w:p>
          <w:p w:rsidR="00800BC1" w:rsidRDefault="00800BC1" w:rsidP="00B0414B">
            <w:r>
              <w:t>“Ētikas dilemmas un dažādie konteksti”</w:t>
            </w:r>
          </w:p>
          <w:p w:rsidR="00800BC1" w:rsidRPr="00CE631C" w:rsidRDefault="00800BC1" w:rsidP="00B0414B">
            <w:r>
              <w:t>“Jurista loma un ētika”</w:t>
            </w:r>
          </w:p>
        </w:tc>
      </w:tr>
    </w:tbl>
    <w:p w:rsidR="00CE631C" w:rsidRDefault="00CE631C" w:rsidP="00CE631C">
      <w:pPr>
        <w:ind w:firstLine="720"/>
      </w:pPr>
    </w:p>
    <w:p w:rsidR="00EA2E9E" w:rsidRDefault="00EA2E9E" w:rsidP="00EA2E9E">
      <w:pPr>
        <w:ind w:firstLine="720"/>
      </w:pPr>
      <w:r>
        <w:t>Pakalpojumu nodrošinātāja kontaktinformācija, lai sazinātos par mācību materiālu pieejamību:</w:t>
      </w:r>
    </w:p>
    <w:p w:rsidR="00EA2E9E" w:rsidRDefault="00B0414B" w:rsidP="00EA2E9E">
      <w:pPr>
        <w:ind w:firstLine="720"/>
        <w:rPr>
          <w:i/>
          <w:iCs/>
        </w:rPr>
      </w:pPr>
      <w:r w:rsidRPr="00B0414B">
        <w:rPr>
          <w:i/>
          <w:iCs/>
        </w:rPr>
        <w:t>Inese Avota</w:t>
      </w:r>
      <w:r w:rsidR="00EA2E9E">
        <w:rPr>
          <w:i/>
          <w:iCs/>
        </w:rPr>
        <w:t xml:space="preserve">, </w:t>
      </w:r>
    </w:p>
    <w:p w:rsidR="00EA2E9E" w:rsidRDefault="00B0414B" w:rsidP="00EA2E9E">
      <w:pPr>
        <w:ind w:firstLine="720"/>
        <w:rPr>
          <w:i/>
          <w:iCs/>
        </w:rPr>
      </w:pPr>
      <w:r>
        <w:rPr>
          <w:i/>
          <w:iCs/>
        </w:rPr>
        <w:lastRenderedPageBreak/>
        <w:t>Programmu vadītāja</w:t>
      </w:r>
      <w:r w:rsidR="00EA2E9E">
        <w:rPr>
          <w:i/>
          <w:iCs/>
        </w:rPr>
        <w:t>,</w:t>
      </w:r>
    </w:p>
    <w:p w:rsidR="00EA2E9E" w:rsidRPr="00EA2E9E" w:rsidRDefault="00853039" w:rsidP="00EA2E9E">
      <w:pPr>
        <w:ind w:firstLine="720"/>
        <w:rPr>
          <w:i/>
          <w:iCs/>
        </w:rPr>
      </w:pPr>
      <w:hyperlink r:id="rId6" w:history="1">
        <w:r w:rsidR="00E401CB" w:rsidRPr="00F41FD9">
          <w:rPr>
            <w:rStyle w:val="Hyperlink"/>
            <w:i/>
            <w:iCs/>
          </w:rPr>
          <w:t>inese@ltmc.lv</w:t>
        </w:r>
      </w:hyperlink>
      <w:r w:rsidR="00E401CB">
        <w:rPr>
          <w:i/>
          <w:iCs/>
        </w:rPr>
        <w:t xml:space="preserve">, 67895874 </w:t>
      </w:r>
    </w:p>
    <w:sectPr w:rsidR="00EA2E9E" w:rsidRPr="00EA2E9E" w:rsidSect="00040C2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31C" w:rsidRDefault="00CE631C" w:rsidP="00CE631C">
      <w:pPr>
        <w:spacing w:after="0" w:line="240" w:lineRule="auto"/>
      </w:pPr>
      <w:r>
        <w:separator/>
      </w:r>
    </w:p>
  </w:endnote>
  <w:endnote w:type="continuationSeparator" w:id="0">
    <w:p w:rsidR="00CE631C" w:rsidRDefault="00CE631C" w:rsidP="00CE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31C" w:rsidRDefault="00CE631C" w:rsidP="00CE631C">
      <w:pPr>
        <w:spacing w:after="0" w:line="240" w:lineRule="auto"/>
      </w:pPr>
      <w:r>
        <w:separator/>
      </w:r>
    </w:p>
  </w:footnote>
  <w:footnote w:type="continuationSeparator" w:id="0">
    <w:p w:rsidR="00CE631C" w:rsidRDefault="00CE631C" w:rsidP="00CE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1C"/>
    <w:rsid w:val="00040C2B"/>
    <w:rsid w:val="00046834"/>
    <w:rsid w:val="000E47B7"/>
    <w:rsid w:val="000F4380"/>
    <w:rsid w:val="001167B3"/>
    <w:rsid w:val="00150783"/>
    <w:rsid w:val="001845B1"/>
    <w:rsid w:val="00224417"/>
    <w:rsid w:val="002630F3"/>
    <w:rsid w:val="00271A61"/>
    <w:rsid w:val="002C2171"/>
    <w:rsid w:val="002C3182"/>
    <w:rsid w:val="0050243D"/>
    <w:rsid w:val="00543C56"/>
    <w:rsid w:val="005532D7"/>
    <w:rsid w:val="00674BD8"/>
    <w:rsid w:val="00767670"/>
    <w:rsid w:val="00770C03"/>
    <w:rsid w:val="00772DA0"/>
    <w:rsid w:val="007A39D9"/>
    <w:rsid w:val="00800BC1"/>
    <w:rsid w:val="00820748"/>
    <w:rsid w:val="00853039"/>
    <w:rsid w:val="008B52D1"/>
    <w:rsid w:val="008C0AA7"/>
    <w:rsid w:val="008D4B8E"/>
    <w:rsid w:val="008D6BE8"/>
    <w:rsid w:val="00937417"/>
    <w:rsid w:val="00A376C7"/>
    <w:rsid w:val="00A5220C"/>
    <w:rsid w:val="00B0414B"/>
    <w:rsid w:val="00BD4A59"/>
    <w:rsid w:val="00C02015"/>
    <w:rsid w:val="00C63011"/>
    <w:rsid w:val="00C63908"/>
    <w:rsid w:val="00CC784F"/>
    <w:rsid w:val="00CE0CC9"/>
    <w:rsid w:val="00CE631C"/>
    <w:rsid w:val="00D47370"/>
    <w:rsid w:val="00DE472F"/>
    <w:rsid w:val="00E24489"/>
    <w:rsid w:val="00E401CB"/>
    <w:rsid w:val="00E55FCC"/>
    <w:rsid w:val="00E84728"/>
    <w:rsid w:val="00EA2E9E"/>
    <w:rsid w:val="00EA346C"/>
    <w:rsid w:val="00F4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A7BB-FDCD-47E7-8813-00293A7B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6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31C"/>
  </w:style>
  <w:style w:type="paragraph" w:styleId="Footer">
    <w:name w:val="footer"/>
    <w:basedOn w:val="Normal"/>
    <w:link w:val="FooterChar"/>
    <w:uiPriority w:val="99"/>
    <w:unhideWhenUsed/>
    <w:rsid w:val="00CE63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31C"/>
  </w:style>
  <w:style w:type="paragraph" w:customStyle="1" w:styleId="Default">
    <w:name w:val="Default"/>
    <w:rsid w:val="00800BC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1CB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0AA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0A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0A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e@ltmc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5915</Words>
  <Characters>3372</Characters>
  <Application>Microsoft Office Word</Application>
  <DocSecurity>0</DocSecurity>
  <Lines>28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Legzdiņa</dc:creator>
  <cp:keywords/>
  <dc:description/>
  <cp:lastModifiedBy>Inese Avota</cp:lastModifiedBy>
  <cp:revision>32</cp:revision>
  <dcterms:created xsi:type="dcterms:W3CDTF">2019-12-19T14:15:00Z</dcterms:created>
  <dcterms:modified xsi:type="dcterms:W3CDTF">2020-01-16T16:15:00Z</dcterms:modified>
</cp:coreProperties>
</file>